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28B7" w14:textId="77777777" w:rsidR="008837F9" w:rsidRDefault="00E2089C">
      <w:pPr>
        <w:rPr>
          <w:rFonts w:ascii="Times New Roman" w:hAnsi="Times New Roman" w:cs="Times New Roman"/>
          <w:b/>
          <w:sz w:val="24"/>
          <w:szCs w:val="24"/>
        </w:rPr>
      </w:pPr>
      <w:r w:rsidRPr="00E2089C">
        <w:rPr>
          <w:rFonts w:ascii="Times New Roman" w:hAnsi="Times New Roman" w:cs="Times New Roman"/>
          <w:b/>
          <w:sz w:val="24"/>
          <w:szCs w:val="24"/>
        </w:rPr>
        <w:t>KWASY NUKLEINOWE I MAŁE CZĄSTECZKI</w:t>
      </w:r>
    </w:p>
    <w:p w14:paraId="7E2B5FBA" w14:textId="38235578" w:rsidR="00DB68D9" w:rsidRDefault="00DB68D9">
      <w:pPr>
        <w:rPr>
          <w:rFonts w:ascii="Times New Roman" w:hAnsi="Times New Roman" w:cs="Times New Roman"/>
          <w:b/>
          <w:sz w:val="24"/>
          <w:szCs w:val="24"/>
        </w:rPr>
      </w:pPr>
      <w:r w:rsidRPr="00DB68D9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Marzena Wójcik</w:t>
      </w:r>
      <w:r w:rsidRPr="00DB68D9">
        <w:rPr>
          <w:rFonts w:ascii="Times New Roman" w:hAnsi="Times New Roman" w:cs="Times New Roman"/>
          <w:b/>
          <w:bCs/>
          <w:sz w:val="24"/>
          <w:szCs w:val="24"/>
        </w:rPr>
        <w:t xml:space="preserve"> prof. UM</w:t>
      </w:r>
    </w:p>
    <w:p w14:paraId="175BEB2B" w14:textId="77777777" w:rsidR="007E42B7" w:rsidRDefault="00E2089C" w:rsidP="00EC3603">
      <w:pPr>
        <w:rPr>
          <w:rFonts w:ascii="Times New Roman" w:hAnsi="Times New Roman" w:cs="Times New Roman"/>
          <w:sz w:val="24"/>
          <w:szCs w:val="24"/>
        </w:rPr>
      </w:pPr>
      <w:r w:rsidRPr="00E2089C">
        <w:rPr>
          <w:rFonts w:ascii="Times New Roman" w:hAnsi="Times New Roman" w:cs="Times New Roman"/>
          <w:sz w:val="24"/>
          <w:szCs w:val="24"/>
        </w:rPr>
        <w:t xml:space="preserve">1. </w:t>
      </w:r>
      <w:r w:rsidR="007E42B7">
        <w:rPr>
          <w:rFonts w:ascii="Times New Roman" w:hAnsi="Times New Roman" w:cs="Times New Roman"/>
          <w:sz w:val="24"/>
          <w:szCs w:val="24"/>
        </w:rPr>
        <w:t>Charakterystyka struktur DNA typu A, B i Z.</w:t>
      </w:r>
    </w:p>
    <w:p w14:paraId="3C599FAC" w14:textId="77777777" w:rsidR="007E42B7" w:rsidRDefault="007E42B7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5AB5">
        <w:rPr>
          <w:rFonts w:ascii="Times New Roman" w:hAnsi="Times New Roman" w:cs="Times New Roman"/>
          <w:sz w:val="24"/>
          <w:szCs w:val="24"/>
        </w:rPr>
        <w:t xml:space="preserve">Tworzenie </w:t>
      </w:r>
      <w:r w:rsidR="00B27AA9">
        <w:rPr>
          <w:rFonts w:ascii="Times New Roman" w:hAnsi="Times New Roman" w:cs="Times New Roman"/>
          <w:sz w:val="24"/>
          <w:szCs w:val="24"/>
        </w:rPr>
        <w:t>oraz</w:t>
      </w:r>
      <w:r w:rsidR="006E5AB5">
        <w:rPr>
          <w:rFonts w:ascii="Times New Roman" w:hAnsi="Times New Roman" w:cs="Times New Roman"/>
          <w:sz w:val="24"/>
          <w:szCs w:val="24"/>
        </w:rPr>
        <w:t xml:space="preserve"> rodzaje trójniciowych i czteroniciowych struktur</w:t>
      </w:r>
      <w:r>
        <w:rPr>
          <w:rFonts w:ascii="Times New Roman" w:hAnsi="Times New Roman" w:cs="Times New Roman"/>
          <w:sz w:val="24"/>
          <w:szCs w:val="24"/>
        </w:rPr>
        <w:t xml:space="preserve"> DNA</w:t>
      </w:r>
      <w:r w:rsidR="006E5AB5">
        <w:rPr>
          <w:rFonts w:ascii="Times New Roman" w:hAnsi="Times New Roman" w:cs="Times New Roman"/>
          <w:sz w:val="24"/>
          <w:szCs w:val="24"/>
        </w:rPr>
        <w:t>.</w:t>
      </w:r>
    </w:p>
    <w:p w14:paraId="554F5529" w14:textId="77777777" w:rsidR="006E5AB5" w:rsidRDefault="006E5AB5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AB5">
        <w:rPr>
          <w:rFonts w:ascii="Times New Roman" w:hAnsi="Times New Roman" w:cs="Times New Roman"/>
          <w:sz w:val="24"/>
          <w:szCs w:val="24"/>
        </w:rPr>
        <w:t>Wielostopniowa organizacja przestrzenna chromatyny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82F144" w14:textId="77777777" w:rsidR="006E5AB5" w:rsidRDefault="006E5AB5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E5AB5">
        <w:t xml:space="preserve"> </w:t>
      </w:r>
      <w:r w:rsidRPr="006E5AB5">
        <w:rPr>
          <w:rFonts w:ascii="Times New Roman" w:hAnsi="Times New Roman" w:cs="Times New Roman"/>
          <w:sz w:val="24"/>
          <w:szCs w:val="24"/>
        </w:rPr>
        <w:t>Charakterystyczne cechy struktury 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6EA2B5" w14:textId="77777777" w:rsidR="006E5AB5" w:rsidRDefault="006E5AB5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E5AB5">
        <w:t xml:space="preserve"> </w:t>
      </w:r>
      <w:r w:rsidRPr="006E5AB5">
        <w:rPr>
          <w:rFonts w:ascii="Times New Roman" w:hAnsi="Times New Roman" w:cs="Times New Roman"/>
          <w:sz w:val="24"/>
          <w:szCs w:val="24"/>
        </w:rPr>
        <w:t>Właściwości fizyko-chemiczne kwasów nukleinowych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4CDE6" w14:textId="77777777" w:rsidR="00780513" w:rsidRDefault="006E5AB5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E5AB5">
        <w:t xml:space="preserve"> </w:t>
      </w:r>
      <w:r w:rsidRPr="006E5AB5">
        <w:rPr>
          <w:rFonts w:ascii="Times New Roman" w:hAnsi="Times New Roman" w:cs="Times New Roman"/>
          <w:sz w:val="24"/>
          <w:szCs w:val="24"/>
        </w:rPr>
        <w:t>Metody badań kwasów nukleinowych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0513">
        <w:rPr>
          <w:rFonts w:ascii="Times New Roman" w:hAnsi="Times New Roman" w:cs="Times New Roman"/>
          <w:sz w:val="24"/>
          <w:szCs w:val="24"/>
        </w:rPr>
        <w:t>s</w:t>
      </w:r>
      <w:r w:rsidR="00780513" w:rsidRPr="00780513">
        <w:rPr>
          <w:rFonts w:ascii="Times New Roman" w:hAnsi="Times New Roman" w:cs="Times New Roman"/>
          <w:sz w:val="24"/>
          <w:szCs w:val="24"/>
        </w:rPr>
        <w:t>pektrofotometria w nadfi</w:t>
      </w:r>
      <w:r w:rsidR="00780513">
        <w:rPr>
          <w:rFonts w:ascii="Times New Roman" w:hAnsi="Times New Roman" w:cs="Times New Roman"/>
          <w:sz w:val="24"/>
          <w:szCs w:val="24"/>
        </w:rPr>
        <w:t>olecie (UV) i podczerwieni (IR)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0513">
        <w:rPr>
          <w:rFonts w:ascii="Times New Roman" w:hAnsi="Times New Roman" w:cs="Times New Roman"/>
          <w:sz w:val="24"/>
          <w:szCs w:val="24"/>
        </w:rPr>
        <w:t>w</w:t>
      </w:r>
      <w:r w:rsidR="00780513" w:rsidRPr="00780513">
        <w:rPr>
          <w:rFonts w:ascii="Times New Roman" w:hAnsi="Times New Roman" w:cs="Times New Roman"/>
          <w:sz w:val="24"/>
          <w:szCs w:val="24"/>
        </w:rPr>
        <w:t>idma dichroizmu kołowego (CD),</w:t>
      </w:r>
      <w:r w:rsidR="0078051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ozdział elektroforetyczny</w:t>
      </w:r>
      <w:r w:rsidR="00780513">
        <w:rPr>
          <w:rFonts w:ascii="Times New Roman" w:hAnsi="Times New Roman" w:cs="Times New Roman"/>
          <w:sz w:val="24"/>
          <w:szCs w:val="24"/>
        </w:rPr>
        <w:t>).</w:t>
      </w:r>
    </w:p>
    <w:p w14:paraId="2E3BC9B9" w14:textId="77777777" w:rsidR="0062636E" w:rsidRDefault="00780513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2636E">
        <w:rPr>
          <w:rFonts w:ascii="Times New Roman" w:hAnsi="Times New Roman" w:cs="Times New Roman"/>
          <w:sz w:val="24"/>
          <w:szCs w:val="24"/>
        </w:rPr>
        <w:t xml:space="preserve"> </w:t>
      </w:r>
      <w:r w:rsidR="007D5919" w:rsidRPr="00EC3603">
        <w:rPr>
          <w:rFonts w:ascii="Times New Roman" w:hAnsi="Times New Roman" w:cs="Times New Roman"/>
          <w:sz w:val="24"/>
          <w:szCs w:val="24"/>
        </w:rPr>
        <w:t xml:space="preserve">Rybozymy i </w:t>
      </w:r>
      <w:r w:rsidR="007D5919">
        <w:rPr>
          <w:rFonts w:ascii="Times New Roman" w:hAnsi="Times New Roman" w:cs="Times New Roman"/>
          <w:sz w:val="24"/>
          <w:szCs w:val="24"/>
        </w:rPr>
        <w:t xml:space="preserve">deoksyrybozymy </w:t>
      </w:r>
      <w:r w:rsidR="007D5919" w:rsidRPr="00EC3603">
        <w:rPr>
          <w:rFonts w:ascii="Times New Roman" w:hAnsi="Times New Roman" w:cs="Times New Roman"/>
          <w:sz w:val="24"/>
          <w:szCs w:val="24"/>
        </w:rPr>
        <w:t>– budowa m</w:t>
      </w:r>
      <w:r w:rsidR="007D5919">
        <w:rPr>
          <w:rFonts w:ascii="Times New Roman" w:hAnsi="Times New Roman" w:cs="Times New Roman"/>
          <w:sz w:val="24"/>
          <w:szCs w:val="24"/>
        </w:rPr>
        <w:t xml:space="preserve">olekularna, mechanizm działania </w:t>
      </w:r>
      <w:r w:rsidR="007D5919" w:rsidRPr="00EC3603">
        <w:rPr>
          <w:rFonts w:ascii="Times New Roman" w:hAnsi="Times New Roman" w:cs="Times New Roman"/>
          <w:sz w:val="24"/>
          <w:szCs w:val="24"/>
        </w:rPr>
        <w:t>i zastosowanie w terapii genowej</w:t>
      </w:r>
      <w:r w:rsidR="0062636E">
        <w:rPr>
          <w:rFonts w:ascii="Times New Roman" w:hAnsi="Times New Roman" w:cs="Times New Roman"/>
          <w:sz w:val="24"/>
          <w:szCs w:val="24"/>
        </w:rPr>
        <w:t>.</w:t>
      </w:r>
    </w:p>
    <w:p w14:paraId="46B67787" w14:textId="77777777" w:rsidR="0062636E" w:rsidRDefault="0062636E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95EF2">
        <w:rPr>
          <w:rFonts w:ascii="Times New Roman" w:hAnsi="Times New Roman" w:cs="Times New Roman"/>
          <w:sz w:val="24"/>
          <w:szCs w:val="24"/>
        </w:rPr>
        <w:t xml:space="preserve">Strategia terapeutyczna </w:t>
      </w:r>
      <w:r w:rsidR="00595EF2" w:rsidRPr="00595EF2">
        <w:rPr>
          <w:rFonts w:ascii="Times New Roman" w:hAnsi="Times New Roman" w:cs="Times New Roman"/>
          <w:sz w:val="24"/>
          <w:szCs w:val="24"/>
        </w:rPr>
        <w:t>opar</w:t>
      </w:r>
      <w:r w:rsidR="00595EF2">
        <w:rPr>
          <w:rFonts w:ascii="Times New Roman" w:hAnsi="Times New Roman" w:cs="Times New Roman"/>
          <w:sz w:val="24"/>
          <w:szCs w:val="24"/>
        </w:rPr>
        <w:t>ta</w:t>
      </w:r>
      <w:r w:rsidR="00595EF2" w:rsidRPr="00595EF2">
        <w:rPr>
          <w:rFonts w:ascii="Times New Roman" w:hAnsi="Times New Roman" w:cs="Times New Roman"/>
          <w:sz w:val="24"/>
          <w:szCs w:val="24"/>
        </w:rPr>
        <w:t xml:space="preserve"> na zjawisku interferencji RNA</w:t>
      </w:r>
      <w:r w:rsidR="00595EF2">
        <w:rPr>
          <w:rFonts w:ascii="Times New Roman" w:hAnsi="Times New Roman" w:cs="Times New Roman"/>
          <w:sz w:val="24"/>
          <w:szCs w:val="24"/>
        </w:rPr>
        <w:t>.</w:t>
      </w:r>
    </w:p>
    <w:p w14:paraId="61144E28" w14:textId="77777777" w:rsidR="00595EF2" w:rsidRDefault="00595EF2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Porównanie strategii antygenowej i antysensowej.</w:t>
      </w:r>
    </w:p>
    <w:p w14:paraId="630745BF" w14:textId="77777777" w:rsidR="00595EF2" w:rsidRDefault="00595EF2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D5919" w:rsidRPr="007D5919">
        <w:t xml:space="preserve"> </w:t>
      </w:r>
      <w:r w:rsidR="007D5919" w:rsidRPr="007D5919">
        <w:rPr>
          <w:rFonts w:ascii="Times New Roman" w:hAnsi="Times New Roman" w:cs="Times New Roman"/>
          <w:sz w:val="24"/>
          <w:szCs w:val="24"/>
        </w:rPr>
        <w:t>Molekularne aspekty działania aptamerów nukleinowych</w:t>
      </w:r>
      <w:r w:rsidR="007D5919">
        <w:rPr>
          <w:rFonts w:ascii="Times New Roman" w:hAnsi="Times New Roman" w:cs="Times New Roman"/>
          <w:sz w:val="24"/>
          <w:szCs w:val="24"/>
        </w:rPr>
        <w:t>.</w:t>
      </w:r>
    </w:p>
    <w:p w14:paraId="290B9BD6" w14:textId="77777777" w:rsidR="007D5919" w:rsidRDefault="007D5919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Zalety i wady naturalnych oligonukleotydów.</w:t>
      </w:r>
    </w:p>
    <w:p w14:paraId="3D66265A" w14:textId="77777777" w:rsidR="007D5919" w:rsidRDefault="007D5919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43774">
        <w:rPr>
          <w:rFonts w:ascii="Times New Roman" w:hAnsi="Times New Roman" w:cs="Times New Roman"/>
          <w:sz w:val="24"/>
          <w:szCs w:val="24"/>
        </w:rPr>
        <w:t xml:space="preserve">Charakterystyka </w:t>
      </w:r>
      <w:r>
        <w:rPr>
          <w:rFonts w:ascii="Times New Roman" w:hAnsi="Times New Roman" w:cs="Times New Roman"/>
          <w:sz w:val="24"/>
          <w:szCs w:val="24"/>
        </w:rPr>
        <w:t>tiofosforanowych analogów oligonukleotydów.</w:t>
      </w:r>
    </w:p>
    <w:p w14:paraId="12DA1AB9" w14:textId="77777777" w:rsidR="00B43774" w:rsidRDefault="007D5919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B43774">
        <w:rPr>
          <w:rFonts w:ascii="Times New Roman" w:hAnsi="Times New Roman" w:cs="Times New Roman"/>
          <w:sz w:val="24"/>
          <w:szCs w:val="24"/>
        </w:rPr>
        <w:t>Zalety i wady peptydowych kwasów nukleinowych</w:t>
      </w:r>
      <w:r w:rsidR="00B27AA9">
        <w:rPr>
          <w:rFonts w:ascii="Times New Roman" w:hAnsi="Times New Roman" w:cs="Times New Roman"/>
          <w:sz w:val="24"/>
          <w:szCs w:val="24"/>
        </w:rPr>
        <w:t xml:space="preserve"> (PNA)</w:t>
      </w:r>
      <w:r w:rsidR="00B43774">
        <w:rPr>
          <w:rFonts w:ascii="Times New Roman" w:hAnsi="Times New Roman" w:cs="Times New Roman"/>
          <w:sz w:val="24"/>
          <w:szCs w:val="24"/>
        </w:rPr>
        <w:t>.</w:t>
      </w:r>
    </w:p>
    <w:p w14:paraId="543FDE62" w14:textId="77777777" w:rsidR="007D5919" w:rsidRDefault="00B43774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Sposoby transportu antysensowych oligonukleotydów do komórek.</w:t>
      </w:r>
    </w:p>
    <w:p w14:paraId="314331C4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79D8EFB6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12710C36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15EE2719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6C5E9563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0395F6B9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2B26BF25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087FC12A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2822301E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429CA9CB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</w:p>
    <w:p w14:paraId="0F2AA1BF" w14:textId="77777777" w:rsidR="00416586" w:rsidRDefault="00416586" w:rsidP="00EC3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Opracowanie: Marzena Wójcik</w:t>
      </w:r>
    </w:p>
    <w:sectPr w:rsidR="0041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89C"/>
    <w:rsid w:val="00416586"/>
    <w:rsid w:val="00595EF2"/>
    <w:rsid w:val="0062636E"/>
    <w:rsid w:val="006E5AB5"/>
    <w:rsid w:val="00780513"/>
    <w:rsid w:val="007D5919"/>
    <w:rsid w:val="007E42B7"/>
    <w:rsid w:val="008837F9"/>
    <w:rsid w:val="00B27AA9"/>
    <w:rsid w:val="00B43774"/>
    <w:rsid w:val="00C470A9"/>
    <w:rsid w:val="00DB68D9"/>
    <w:rsid w:val="00DE6E82"/>
    <w:rsid w:val="00E2089C"/>
    <w:rsid w:val="00EC3603"/>
    <w:rsid w:val="00F328C9"/>
    <w:rsid w:val="00F7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6B8D"/>
  <w15:docId w15:val="{C9B80C7E-0A2F-4CDB-8E4B-FA5553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Joanna Wrońska</cp:lastModifiedBy>
  <cp:revision>3</cp:revision>
  <dcterms:created xsi:type="dcterms:W3CDTF">2022-06-06T13:11:00Z</dcterms:created>
  <dcterms:modified xsi:type="dcterms:W3CDTF">2023-04-11T09:30:00Z</dcterms:modified>
</cp:coreProperties>
</file>