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23D5" w14:textId="77777777" w:rsidR="006C2E1F" w:rsidRPr="006C2E1F" w:rsidRDefault="006C2E1F" w:rsidP="00C309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997879" w14:textId="77777777" w:rsidR="00A325A3" w:rsidRDefault="00A325A3" w:rsidP="00C309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2E1F">
        <w:rPr>
          <w:rFonts w:ascii="Times New Roman" w:hAnsi="Times New Roman" w:cs="Times New Roman"/>
          <w:b/>
          <w:bCs/>
          <w:sz w:val="24"/>
          <w:szCs w:val="24"/>
        </w:rPr>
        <w:t>PATOLOGIA MOLEKULARNA – BIOLOGIA MOLEKULARNA WYBRANYCH CHORÓB (ECTS 4)</w:t>
      </w:r>
    </w:p>
    <w:p w14:paraId="276C8400" w14:textId="77777777" w:rsidR="003507B3" w:rsidRDefault="003507B3" w:rsidP="00C309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30454" w14:textId="08E23974" w:rsidR="003507B3" w:rsidRPr="006C2E1F" w:rsidRDefault="003507B3" w:rsidP="00C309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07B3">
        <w:rPr>
          <w:rFonts w:ascii="Times New Roman" w:hAnsi="Times New Roman" w:cs="Times New Roman"/>
          <w:b/>
          <w:bCs/>
          <w:sz w:val="24"/>
          <w:szCs w:val="24"/>
        </w:rPr>
        <w:t xml:space="preserve">Kierownik przedmiotu: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r w:rsidRPr="003507B3">
        <w:rPr>
          <w:rFonts w:ascii="Times New Roman" w:hAnsi="Times New Roman" w:cs="Times New Roman"/>
          <w:b/>
          <w:bCs/>
          <w:sz w:val="24"/>
          <w:szCs w:val="24"/>
        </w:rPr>
        <w:t xml:space="preserve">dr hab. n. med. </w:t>
      </w:r>
      <w:r>
        <w:rPr>
          <w:rFonts w:ascii="Times New Roman" w:hAnsi="Times New Roman" w:cs="Times New Roman"/>
          <w:b/>
          <w:bCs/>
          <w:sz w:val="24"/>
          <w:szCs w:val="24"/>
        </w:rPr>
        <w:t>Rafał Pawliczak</w:t>
      </w:r>
    </w:p>
    <w:p w14:paraId="73AF887B" w14:textId="77777777" w:rsidR="00A325A3" w:rsidRPr="006C2E1F" w:rsidRDefault="00A325A3" w:rsidP="00C30985">
      <w:pPr>
        <w:pStyle w:val="Akapitzlist"/>
        <w:ind w:left="1080"/>
        <w:rPr>
          <w:b/>
          <w:bCs/>
        </w:rPr>
      </w:pPr>
    </w:p>
    <w:p w14:paraId="3013BE50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Porównaj podłoże molekularne nerwiakowłókniowatości typu 1, typu 2 i typu 3</w:t>
      </w:r>
    </w:p>
    <w:p w14:paraId="0078BEA2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Omów porfirie erytropoetyczne (klasyfikacja, zaburzenia molekularne, krótka charakterystyka każdej porfirii erytropoetycznej)</w:t>
      </w:r>
    </w:p>
    <w:p w14:paraId="33360FD7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 xml:space="preserve">Scharakteryzuj </w:t>
      </w:r>
      <w:r w:rsidR="00BB729B">
        <w:t>mechanizmy patologiczne w gruźlicy</w:t>
      </w:r>
    </w:p>
    <w:p w14:paraId="3C0A6D6B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Omów podłoże molekularne cukrzycy typu 1 (T1DM)</w:t>
      </w:r>
    </w:p>
    <w:p w14:paraId="77147DB1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 xml:space="preserve">Omów postacie </w:t>
      </w:r>
      <w:r w:rsidR="00BB729B">
        <w:t xml:space="preserve">mechanizmy molekularne prowadzące do </w:t>
      </w:r>
      <w:r w:rsidRPr="006C2E1F">
        <w:t xml:space="preserve"> stwardnienia rozsianego</w:t>
      </w:r>
    </w:p>
    <w:p w14:paraId="6826F353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Omów etiologię lizosomalnych chorób spichrzeniowych</w:t>
      </w:r>
    </w:p>
    <w:p w14:paraId="39519317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Omów przyczyny wrodzonych oraz nabytych zespołów długiego odcinka QT (LQTS)</w:t>
      </w:r>
    </w:p>
    <w:p w14:paraId="0984AE54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Omów mechanizm powstawania gęstego lepkiego śluzu w drogach oddechowych w przebiegu mukowiscydozy</w:t>
      </w:r>
    </w:p>
    <w:p w14:paraId="42207F3E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Porównaj podłoże molekularne pęcherzycy zwykłej (</w:t>
      </w:r>
      <w:r w:rsidRPr="006C2E1F">
        <w:rPr>
          <w:i/>
          <w:iCs/>
        </w:rPr>
        <w:t>Pemphigus vulgaris</w:t>
      </w:r>
      <w:r w:rsidRPr="006C2E1F">
        <w:t>)</w:t>
      </w:r>
      <w:r w:rsidRPr="006C2E1F">
        <w:rPr>
          <w:i/>
          <w:iCs/>
        </w:rPr>
        <w:t xml:space="preserve"> </w:t>
      </w:r>
      <w:r w:rsidRPr="006C2E1F">
        <w:t>oraz pęcherzycy liściastej (</w:t>
      </w:r>
      <w:r w:rsidRPr="006C2E1F">
        <w:rPr>
          <w:i/>
          <w:iCs/>
        </w:rPr>
        <w:t>Pemphigus foliaceous</w:t>
      </w:r>
      <w:r w:rsidRPr="006C2E1F">
        <w:t>)</w:t>
      </w:r>
    </w:p>
    <w:p w14:paraId="73BE463C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Omów podłoże molekularne opryszczkowego zapalenia skóry (</w:t>
      </w:r>
      <w:r w:rsidRPr="006C2E1F">
        <w:rPr>
          <w:i/>
          <w:iCs/>
        </w:rPr>
        <w:t>Dermatitis herpetiformis</w:t>
      </w:r>
      <w:r w:rsidRPr="006C2E1F">
        <w:t>)</w:t>
      </w:r>
    </w:p>
    <w:p w14:paraId="65996E65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Porównaj podłoże molekularne oraz przebieg dystrofii mięśniowej Duchenne’a oraz Beckera</w:t>
      </w:r>
    </w:p>
    <w:p w14:paraId="4A2D099C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Omów cechy specyficzne oraz wspólne dla dystrofii miotonicznej typu 1 (DM1) oraz typu 2 (DM2)</w:t>
      </w:r>
    </w:p>
    <w:p w14:paraId="3CD6753F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Porównaj podłoże molekularne talasemii alfa oraz talasemii beta</w:t>
      </w:r>
    </w:p>
    <w:p w14:paraId="0A5CC7FC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Z jakiego powodu na terenach występowania malarii mutacja powodująca anemię sierpowatą utrzymuje się w populacji?</w:t>
      </w:r>
    </w:p>
    <w:p w14:paraId="2470B6B6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Omów etiologię nabytego zespołu von Willebranda (AvWS)</w:t>
      </w:r>
    </w:p>
    <w:p w14:paraId="131E2562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 xml:space="preserve">Omów </w:t>
      </w:r>
      <w:r w:rsidR="00BB729B">
        <w:t>mechanizmy molekularne</w:t>
      </w:r>
      <w:r w:rsidRPr="006C2E1F">
        <w:t xml:space="preserve"> kliniczne hemofilii</w:t>
      </w:r>
    </w:p>
    <w:p w14:paraId="068CDC19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Omów mechanizmy adaptacji genetycznej wirusa grypy</w:t>
      </w:r>
    </w:p>
    <w:p w14:paraId="64E46719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Dlaczego brak ekspresji antygenu Duffy zapewnia oporność na zakażenie zarodźcem malarii?</w:t>
      </w:r>
    </w:p>
    <w:p w14:paraId="295416E1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Omów etiologię hipercholesterolemii pierwotnej oraz wtórnej</w:t>
      </w:r>
    </w:p>
    <w:p w14:paraId="19FE85B0" w14:textId="77777777" w:rsidR="00A325A3" w:rsidRPr="006C2E1F" w:rsidRDefault="00A325A3" w:rsidP="00C30985">
      <w:pPr>
        <w:pStyle w:val="Akapitzlist"/>
        <w:numPr>
          <w:ilvl w:val="0"/>
          <w:numId w:val="3"/>
        </w:numPr>
        <w:jc w:val="both"/>
      </w:pPr>
      <w:r w:rsidRPr="006C2E1F">
        <w:t>Omów czynniki modyfikowalne oraz niemodyfikowalne ryzyka rozwoju udaru mózgu</w:t>
      </w:r>
    </w:p>
    <w:p w14:paraId="545B8382" w14:textId="77777777" w:rsidR="00A325A3" w:rsidRPr="006C2E1F" w:rsidRDefault="00A325A3" w:rsidP="00C30985">
      <w:pPr>
        <w:pStyle w:val="Akapitzlist"/>
        <w:jc w:val="both"/>
      </w:pPr>
    </w:p>
    <w:sectPr w:rsidR="00A325A3" w:rsidRPr="006C2E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02B4" w14:textId="77777777" w:rsidR="003C18C4" w:rsidRDefault="003C18C4" w:rsidP="006C2E1F">
      <w:pPr>
        <w:spacing w:after="0" w:line="240" w:lineRule="auto"/>
      </w:pPr>
      <w:r>
        <w:separator/>
      </w:r>
    </w:p>
  </w:endnote>
  <w:endnote w:type="continuationSeparator" w:id="0">
    <w:p w14:paraId="48061E2B" w14:textId="77777777" w:rsidR="003C18C4" w:rsidRDefault="003C18C4" w:rsidP="006C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078158"/>
      <w:docPartObj>
        <w:docPartGallery w:val="Page Numbers (Bottom of Page)"/>
        <w:docPartUnique/>
      </w:docPartObj>
    </w:sdtPr>
    <w:sdtContent>
      <w:p w14:paraId="798CE5D6" w14:textId="77777777" w:rsidR="006C2E1F" w:rsidRDefault="006C2E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675">
          <w:rPr>
            <w:noProof/>
          </w:rPr>
          <w:t>8</w:t>
        </w:r>
        <w:r>
          <w:fldChar w:fldCharType="end"/>
        </w:r>
      </w:p>
    </w:sdtContent>
  </w:sdt>
  <w:p w14:paraId="2D5A3A41" w14:textId="77777777" w:rsidR="006C2E1F" w:rsidRDefault="006C2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901E" w14:textId="77777777" w:rsidR="003C18C4" w:rsidRDefault="003C18C4" w:rsidP="006C2E1F">
      <w:pPr>
        <w:spacing w:after="0" w:line="240" w:lineRule="auto"/>
      </w:pPr>
      <w:r>
        <w:separator/>
      </w:r>
    </w:p>
  </w:footnote>
  <w:footnote w:type="continuationSeparator" w:id="0">
    <w:p w14:paraId="03C0DE92" w14:textId="77777777" w:rsidR="003C18C4" w:rsidRDefault="003C18C4" w:rsidP="006C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F45"/>
    <w:multiLevelType w:val="hybridMultilevel"/>
    <w:tmpl w:val="C67AE356"/>
    <w:lvl w:ilvl="0" w:tplc="CBF6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CD5"/>
    <w:multiLevelType w:val="hybridMultilevel"/>
    <w:tmpl w:val="3C505880"/>
    <w:lvl w:ilvl="0" w:tplc="9ADC7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24E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1CB3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A80E4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121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C14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D2CCF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6F61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3A45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F20D9"/>
    <w:multiLevelType w:val="hybridMultilevel"/>
    <w:tmpl w:val="622810E8"/>
    <w:lvl w:ilvl="0" w:tplc="44784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8C9"/>
    <w:multiLevelType w:val="hybridMultilevel"/>
    <w:tmpl w:val="F7286BA6"/>
    <w:lvl w:ilvl="0" w:tplc="C1BA9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525E9"/>
    <w:multiLevelType w:val="hybridMultilevel"/>
    <w:tmpl w:val="C7882D82"/>
    <w:lvl w:ilvl="0" w:tplc="2BD29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C0722"/>
    <w:multiLevelType w:val="hybridMultilevel"/>
    <w:tmpl w:val="13DC43F4"/>
    <w:lvl w:ilvl="0" w:tplc="E7A08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536DA"/>
    <w:multiLevelType w:val="hybridMultilevel"/>
    <w:tmpl w:val="915E3298"/>
    <w:lvl w:ilvl="0" w:tplc="434AF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111F9"/>
    <w:multiLevelType w:val="hybridMultilevel"/>
    <w:tmpl w:val="5616ED7E"/>
    <w:lvl w:ilvl="0" w:tplc="904AD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D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49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06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C1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EA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0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AC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80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877FE"/>
    <w:multiLevelType w:val="hybridMultilevel"/>
    <w:tmpl w:val="F15A98AC"/>
    <w:lvl w:ilvl="0" w:tplc="97F2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345374">
    <w:abstractNumId w:val="1"/>
  </w:num>
  <w:num w:numId="2" w16cid:durableId="96600221">
    <w:abstractNumId w:val="7"/>
  </w:num>
  <w:num w:numId="3" w16cid:durableId="1236621907">
    <w:abstractNumId w:val="6"/>
  </w:num>
  <w:num w:numId="4" w16cid:durableId="1109934838">
    <w:abstractNumId w:val="5"/>
  </w:num>
  <w:num w:numId="5" w16cid:durableId="639187905">
    <w:abstractNumId w:val="2"/>
  </w:num>
  <w:num w:numId="6" w16cid:durableId="124323033">
    <w:abstractNumId w:val="8"/>
  </w:num>
  <w:num w:numId="7" w16cid:durableId="750010944">
    <w:abstractNumId w:val="4"/>
  </w:num>
  <w:num w:numId="8" w16cid:durableId="1314135844">
    <w:abstractNumId w:val="3"/>
  </w:num>
  <w:num w:numId="9" w16cid:durableId="158977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BD"/>
    <w:rsid w:val="00043007"/>
    <w:rsid w:val="00066470"/>
    <w:rsid w:val="0008791F"/>
    <w:rsid w:val="00095A73"/>
    <w:rsid w:val="000B57FA"/>
    <w:rsid w:val="001B4FC4"/>
    <w:rsid w:val="002A1116"/>
    <w:rsid w:val="002A2BB0"/>
    <w:rsid w:val="00314764"/>
    <w:rsid w:val="003507B3"/>
    <w:rsid w:val="00363DE9"/>
    <w:rsid w:val="00374B3F"/>
    <w:rsid w:val="003C18C4"/>
    <w:rsid w:val="003E3CE6"/>
    <w:rsid w:val="00517DE1"/>
    <w:rsid w:val="00560A05"/>
    <w:rsid w:val="00570C49"/>
    <w:rsid w:val="00610742"/>
    <w:rsid w:val="006C2E1F"/>
    <w:rsid w:val="006D3DBD"/>
    <w:rsid w:val="006D7E99"/>
    <w:rsid w:val="00796D7F"/>
    <w:rsid w:val="007A5A57"/>
    <w:rsid w:val="00822ACC"/>
    <w:rsid w:val="00837EC4"/>
    <w:rsid w:val="008C1958"/>
    <w:rsid w:val="0093333A"/>
    <w:rsid w:val="009A0385"/>
    <w:rsid w:val="009C621F"/>
    <w:rsid w:val="00A325A3"/>
    <w:rsid w:val="00A57E0A"/>
    <w:rsid w:val="00AE6557"/>
    <w:rsid w:val="00AF135F"/>
    <w:rsid w:val="00BB3FBB"/>
    <w:rsid w:val="00BB729B"/>
    <w:rsid w:val="00C30985"/>
    <w:rsid w:val="00C41502"/>
    <w:rsid w:val="00C71555"/>
    <w:rsid w:val="00C87C11"/>
    <w:rsid w:val="00CA6675"/>
    <w:rsid w:val="00CD5932"/>
    <w:rsid w:val="00D4185E"/>
    <w:rsid w:val="00DB2B83"/>
    <w:rsid w:val="00DC514C"/>
    <w:rsid w:val="00E3534A"/>
    <w:rsid w:val="00E47C2F"/>
    <w:rsid w:val="00E81055"/>
    <w:rsid w:val="00ED2814"/>
    <w:rsid w:val="00F163F0"/>
    <w:rsid w:val="00F23F70"/>
    <w:rsid w:val="00F549B8"/>
    <w:rsid w:val="00F70FC7"/>
    <w:rsid w:val="00FC0310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CD6A"/>
  <w15:chartTrackingRefBased/>
  <w15:docId w15:val="{694C1A01-96C1-4EE0-AE87-CCCEC901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E1F"/>
  </w:style>
  <w:style w:type="paragraph" w:styleId="Stopka">
    <w:name w:val="footer"/>
    <w:basedOn w:val="Normalny"/>
    <w:link w:val="StopkaZnak"/>
    <w:uiPriority w:val="99"/>
    <w:unhideWhenUsed/>
    <w:rsid w:val="006C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63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9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5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Wieczfińska</dc:creator>
  <cp:keywords/>
  <dc:description/>
  <cp:lastModifiedBy>Joanna Wrońska</cp:lastModifiedBy>
  <cp:revision>3</cp:revision>
  <dcterms:created xsi:type="dcterms:W3CDTF">2022-06-10T07:56:00Z</dcterms:created>
  <dcterms:modified xsi:type="dcterms:W3CDTF">2023-04-11T09:39:00Z</dcterms:modified>
</cp:coreProperties>
</file>